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55446" w14:textId="77777777" w:rsidR="00E67940" w:rsidRDefault="006D424A">
      <w:pPr>
        <w:spacing w:before="2400" w:after="200"/>
        <w:jc w:val="center"/>
      </w:pPr>
      <w:r>
        <w:rPr>
          <w:b/>
          <w:bCs/>
          <w:color w:val="1F4E79"/>
          <w:sz w:val="52"/>
          <w:szCs w:val="52"/>
        </w:rPr>
        <w:t>Oscillatory Mode Characterization of PMU Measurements</w:t>
      </w:r>
    </w:p>
    <w:p w14:paraId="720EEE73" w14:textId="77777777" w:rsidR="00E67940" w:rsidRDefault="006D424A">
      <w:pPr>
        <w:spacing w:after="120"/>
        <w:jc w:val="center"/>
      </w:pPr>
      <w:r>
        <w:rPr>
          <w:color w:val="404040"/>
          <w:sz w:val="32"/>
          <w:szCs w:val="32"/>
        </w:rPr>
        <w:t>Installation and User Guide</w:t>
      </w:r>
    </w:p>
    <w:p w14:paraId="41DE96B5" w14:textId="77777777" w:rsidR="00E67940" w:rsidRDefault="006D424A">
      <w:pPr>
        <w:spacing w:after="60"/>
        <w:jc w:val="center"/>
      </w:pPr>
      <w:r>
        <w:rPr>
          <w:sz w:val="24"/>
          <w:szCs w:val="24"/>
        </w:rPr>
        <w:t>GPA Engagement Project — Task 1</w:t>
      </w:r>
    </w:p>
    <w:p w14:paraId="13486B02" w14:textId="77777777" w:rsidR="00E67940" w:rsidRDefault="006D424A">
      <w:pPr>
        <w:spacing w:after="60"/>
        <w:jc w:val="center"/>
      </w:pPr>
      <w:r>
        <w:rPr>
          <w:color w:val="606060"/>
          <w:sz w:val="22"/>
          <w:szCs w:val="22"/>
        </w:rPr>
        <w:t>Version 1.1  •  August 18, 2026</w:t>
      </w:r>
    </w:p>
    <w:p w14:paraId="5C3DE99E" w14:textId="77777777" w:rsidR="00E67940" w:rsidRDefault="006D424A">
      <w:pPr>
        <w:jc w:val="center"/>
      </w:pPr>
      <w:r>
        <w:rPr>
          <w:color w:val="606060"/>
          <w:sz w:val="22"/>
          <w:szCs w:val="22"/>
        </w:rPr>
        <w:t>Grid Protection Alliance</w:t>
      </w:r>
    </w:p>
    <w:p w14:paraId="4E382D96" w14:textId="77777777" w:rsidR="00E67940" w:rsidRDefault="00E67940"/>
    <w:p w14:paraId="5C39AF81" w14:textId="77777777" w:rsidR="00E67940" w:rsidRDefault="00E67940"/>
    <w:p w14:paraId="2C0EC3CD" w14:textId="77777777" w:rsidR="00E67940" w:rsidRDefault="006D424A">
      <w:pPr>
        <w:pStyle w:val="Heading1"/>
        <w:pageBreakBefore/>
        <w:spacing w:after="200"/>
      </w:pPr>
      <w:bookmarkStart w:id="0" w:name="_Toc237939552"/>
      <w:r>
        <w:lastRenderedPageBreak/>
        <w:t>Contents</w:t>
      </w:r>
      <w:bookmarkEnd w:id="0"/>
    </w:p>
    <w:sdt>
      <w:sdtPr>
        <w:alias w:val="Table of Contents"/>
        <w:id w:val="1637217103"/>
      </w:sdtPr>
      <w:sdtEndPr/>
      <w:sdtContent>
        <w:p w14:paraId="1BE4FA55" w14:textId="6AB7D2B0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>TOC \h \o "1-2"</w:instrText>
          </w:r>
          <w:r>
            <w:fldChar w:fldCharType="separate"/>
          </w:r>
          <w:hyperlink w:anchor="_Toc237939552" w:history="1">
            <w:r w:rsidRPr="005826E2">
              <w:rPr>
                <w:rStyle w:val="Hyperlink"/>
                <w:noProof/>
              </w:rPr>
              <w:t>Contents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hyperlink>
        </w:p>
        <w:p w14:paraId="3A6444AE" w14:textId="711682E3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3" w:history="1">
            <w:r w:rsidRPr="005826E2">
              <w:rPr>
                <w:rStyle w:val="Hyperlink"/>
                <w:noProof/>
              </w:rPr>
              <w:t>Introduction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33AB8AB9" w14:textId="7744B18D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4" w:history="1">
            <w:r w:rsidRPr="005826E2">
              <w:rPr>
                <w:rStyle w:val="Hyperlink"/>
                <w:noProof/>
              </w:rPr>
              <w:t>System Requirements and Installation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56F5A7EF" w14:textId="1435F41C" w:rsidR="006D424A" w:rsidRDefault="006D424A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5" w:history="1">
            <w:r w:rsidRPr="005826E2">
              <w:rPr>
                <w:rStyle w:val="Hyperlink"/>
                <w:noProof/>
              </w:rPr>
              <w:t>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293855AA" w14:textId="59F8DF3C" w:rsidR="006D424A" w:rsidRDefault="006D424A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6" w:history="1">
            <w:r w:rsidRPr="005826E2">
              <w:rPr>
                <w:rStyle w:val="Hyperlink"/>
                <w:noProof/>
              </w:rPr>
              <w:t>Installation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713B2C6D" w14:textId="6865D4D6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7" w:history="1">
            <w:r w:rsidRPr="005826E2">
              <w:rPr>
                <w:rStyle w:val="Hyperlink"/>
                <w:noProof/>
              </w:rPr>
              <w:t>Quick Start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0624515B" w14:textId="3C9FB7C0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8" w:history="1">
            <w:r w:rsidRPr="005826E2">
              <w:rPr>
                <w:rStyle w:val="Hyperlink"/>
                <w:noProof/>
              </w:rPr>
              <w:t>Command-Line Usage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3A51B7FF" w14:textId="345322A6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59" w:history="1">
            <w:r w:rsidRPr="005826E2">
              <w:rPr>
                <w:rStyle w:val="Hyperlink"/>
                <w:noProof/>
              </w:rPr>
              <w:t>Configuration Reference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6C0C845B" w14:textId="63147D09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0" w:history="1">
            <w:r w:rsidRPr="005826E2">
              <w:rPr>
                <w:rStyle w:val="Hyperlink"/>
                <w:noProof/>
              </w:rPr>
              <w:t>Scheduled and Periodic Operation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373E8547" w14:textId="162283E1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1" w:history="1">
            <w:r w:rsidRPr="005826E2">
              <w:rPr>
                <w:rStyle w:val="Hyperlink"/>
                <w:noProof/>
              </w:rPr>
              <w:t>Methodology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48BD61F" w14:textId="7F3A6515" w:rsidR="006D424A" w:rsidRDefault="006D424A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2" w:history="1">
            <w:r w:rsidRPr="005826E2">
              <w:rPr>
                <w:rStyle w:val="Hyperlink"/>
                <w:noProof/>
              </w:rPr>
              <w:t>Processing Pipeline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33A26198" w14:textId="099AF00E" w:rsidR="006D424A" w:rsidRDefault="006D424A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3" w:history="1">
            <w:r w:rsidRPr="005826E2">
              <w:rPr>
                <w:rStyle w:val="Hyperlink"/>
                <w:noProof/>
              </w:rPr>
              <w:t>Confidence Metric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786C148" w14:textId="27DC3DBC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4" w:history="1">
            <w:r w:rsidRPr="005826E2">
              <w:rPr>
                <w:rStyle w:val="Hyperlink"/>
                <w:noProof/>
              </w:rPr>
              <w:t>Output Files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07B1E8C9" w14:textId="681EAC46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5" w:history="1">
            <w:r w:rsidRPr="005826E2">
              <w:rPr>
                <w:rStyle w:val="Hyperlink"/>
                <w:noProof/>
              </w:rPr>
              <w:t>Interpreting Results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4F3C23C9" w14:textId="5F34F197" w:rsidR="006D424A" w:rsidRDefault="006D424A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7939566" w:history="1">
            <w:r w:rsidRPr="005826E2">
              <w:rPr>
                <w:rStyle w:val="Hyperlink"/>
                <w:noProof/>
              </w:rPr>
              <w:t>Troubleshooting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_Toc237939566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130B099F" w14:textId="5135BBC5" w:rsidR="00E67940" w:rsidRDefault="006D424A">
          <w:r>
            <w:fldChar w:fldCharType="end"/>
          </w:r>
        </w:p>
      </w:sdtContent>
    </w:sdt>
    <w:p w14:paraId="297CE09F" w14:textId="77777777" w:rsidR="00E67940" w:rsidRDefault="006D424A">
      <w:pPr>
        <w:pStyle w:val="Heading1"/>
        <w:pageBreakBefore/>
      </w:pPr>
      <w:bookmarkStart w:id="1" w:name="_Toc237939553"/>
      <w:r>
        <w:lastRenderedPageBreak/>
        <w:t>Introduction</w:t>
      </w:r>
      <w:bookmarkEnd w:id="1"/>
    </w:p>
    <w:p w14:paraId="36C1EEA8" w14:textId="77777777" w:rsidR="00E67940" w:rsidRDefault="006D424A">
      <w:pPr>
        <w:spacing w:after="120"/>
      </w:pPr>
      <w:r>
        <w:t>The oscillation analysis tool (oscillation_analysis.py) automatically retrieves historical synchrophasor (PMU) data from an openHistorian instance and characterizes the oscillatory behavior present across the monitored fleet. For each identified oscillatory mode it reports:</w:t>
      </w:r>
    </w:p>
    <w:p w14:paraId="48ED7407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Frequency (Hz) with variability bounds</w:t>
      </w:r>
    </w:p>
    <w:p w14:paraId="588917F1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Damping ratio (%) with variability bounds</w:t>
      </w:r>
    </w:p>
    <w:p w14:paraId="1E686BDE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Amplitude (RMS, in the engineering units of each signal type)</w:t>
      </w:r>
    </w:p>
    <w:p w14:paraId="26FEEC08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Growth/decay trends of amplitude and damping over time</w:t>
      </w:r>
    </w:p>
    <w:p w14:paraId="1CB1B438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Mode shape: relative amplitude and phase of every participating channel</w:t>
      </w:r>
    </w:p>
    <w:p w14:paraId="685B7C7E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Temporal persistence and cross-channel observability</w:t>
      </w:r>
    </w:p>
    <w:p w14:paraId="18C3D7CD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A confidence metric that separates meaningful modes from noise and spurious detections</w:t>
      </w:r>
    </w:p>
    <w:p w14:paraId="2C3A87C6" w14:textId="77777777" w:rsidR="00E67940" w:rsidRDefault="006D424A">
      <w:pPr>
        <w:spacing w:after="120"/>
      </w:pPr>
      <w:r>
        <w:t>Persistent modes whose damping falls below a configurable threshold (default 5%) are flagged for engineering review. Detected disturbances (frequency excursions, voltage deviations, angle steps) are logged and excluded from ambient-mode statistics so that event transients do not skew the results. Real-time oscillation detection and alarming are addressed by a separate online process and are out of scope for this tool.</w:t>
      </w:r>
    </w:p>
    <w:p w14:paraId="5C778886" w14:textId="77777777" w:rsidR="00E67940" w:rsidRDefault="006D424A">
      <w:pPr>
        <w:spacing w:after="120"/>
      </w:pPr>
      <w:r>
        <w:rPr>
          <w:b/>
          <w:bCs/>
        </w:rPr>
        <w:t xml:space="preserve">Data access: </w:t>
      </w:r>
      <w:r>
        <w:t xml:space="preserve">the tool uses the official openHistorian Python API (PyPI package </w:t>
      </w:r>
      <w:r>
        <w:rPr>
          <w:rFonts w:ascii="Consolas" w:eastAsia="Consolas" w:hAnsi="Consolas" w:cs="Consolas"/>
          <w:sz w:val="19"/>
          <w:szCs w:val="19"/>
        </w:rPr>
        <w:t>openhistorian</w:t>
      </w:r>
      <w:r>
        <w:t>) over the SNAPdb data-services socket (default port 38402) with STTP metadata refresh (default port 7175).</w:t>
      </w:r>
    </w:p>
    <w:p w14:paraId="70BD7576" w14:textId="77777777" w:rsidR="00E67940" w:rsidRDefault="006D424A">
      <w:pPr>
        <w:pStyle w:val="Heading1"/>
        <w:spacing w:before="320" w:after="140"/>
      </w:pPr>
      <w:bookmarkStart w:id="2" w:name="_Toc237939554"/>
      <w:r>
        <w:t>System Requirements and Installation</w:t>
      </w:r>
      <w:bookmarkEnd w:id="2"/>
    </w:p>
    <w:p w14:paraId="2F502894" w14:textId="77777777" w:rsidR="00E67940" w:rsidRDefault="006D424A">
      <w:pPr>
        <w:pStyle w:val="Heading2"/>
        <w:spacing w:before="240" w:after="120"/>
      </w:pPr>
      <w:bookmarkStart w:id="3" w:name="_Toc237939555"/>
      <w:r>
        <w:t>Requirements</w:t>
      </w:r>
      <w:bookmarkEnd w:id="3"/>
    </w:p>
    <w:p w14:paraId="31318138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Windows or Linux with Python 3.10 or later (developed and tested on Python 3.12)</w:t>
      </w:r>
    </w:p>
    <w:p w14:paraId="533717CF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Network access to the openHistorian server: TCP ports 38402 (SNAPdb data) and 7175 (STTP metadata)</w:t>
      </w:r>
    </w:p>
    <w:p w14:paraId="03995192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Approximately 200 MB of disk per analysis run for plots and reports (less with plots disabled)</w:t>
      </w:r>
    </w:p>
    <w:p w14:paraId="2BDAFAB3" w14:textId="77777777" w:rsidR="00E67940" w:rsidRDefault="006D424A">
      <w:pPr>
        <w:pStyle w:val="Heading2"/>
        <w:spacing w:before="240" w:after="120"/>
      </w:pPr>
      <w:bookmarkStart w:id="4" w:name="_Toc237939556"/>
      <w:r>
        <w:t>Installation</w:t>
      </w:r>
      <w:bookmarkEnd w:id="4"/>
    </w:p>
    <w:p w14:paraId="0AD06266" w14:textId="77777777" w:rsidR="00E67940" w:rsidRDefault="006D424A">
      <w:pPr>
        <w:spacing w:after="120"/>
      </w:pPr>
      <w:r>
        <w:t>From the project folder, create a virtual environment and install the dependencies:</w:t>
      </w:r>
    </w:p>
    <w:p w14:paraId="775B8D76" w14:textId="77777777" w:rsidR="00E67940" w:rsidRDefault="006D424A">
      <w:pPr>
        <w:shd w:val="clear" w:color="auto" w:fill="F2F2F2"/>
        <w:ind w:left="240" w:right="240"/>
      </w:pPr>
      <w:r>
        <w:rPr>
          <w:rFonts w:ascii="Consolas" w:eastAsia="Consolas" w:hAnsi="Consolas" w:cs="Consolas"/>
          <w:sz w:val="18"/>
          <w:szCs w:val="18"/>
        </w:rPr>
        <w:t>python -m venv .venv</w:t>
      </w:r>
    </w:p>
    <w:p w14:paraId="0E4EE0BB" w14:textId="77777777" w:rsidR="00E67940" w:rsidRDefault="006D424A">
      <w:pPr>
        <w:shd w:val="clear" w:color="auto" w:fill="F2F2F2"/>
        <w:spacing w:after="160"/>
        <w:ind w:left="240" w:right="240"/>
      </w:pPr>
      <w:r>
        <w:rPr>
          <w:rFonts w:ascii="Consolas" w:eastAsia="Consolas" w:hAnsi="Consolas" w:cs="Consolas"/>
          <w:sz w:val="18"/>
          <w:szCs w:val="18"/>
        </w:rPr>
        <w:t>.venv\Scripts\pip install -r requirements.txt</w:t>
      </w:r>
    </w:p>
    <w:p w14:paraId="031018F7" w14:textId="77777777" w:rsidR="00E67940" w:rsidRDefault="006D424A">
      <w:pPr>
        <w:spacing w:after="120"/>
      </w:pPr>
      <w:r>
        <w:t xml:space="preserve">The </w:t>
      </w:r>
      <w:r>
        <w:rPr>
          <w:rFonts w:ascii="Consolas" w:eastAsia="Consolas" w:hAnsi="Consolas" w:cs="Consolas"/>
          <w:sz w:val="19"/>
          <w:szCs w:val="19"/>
        </w:rPr>
        <w:t>requirements.txt</w:t>
      </w:r>
      <w:r>
        <w:t xml:space="preserve"> file lists: </w:t>
      </w:r>
      <w:r>
        <w:rPr>
          <w:rFonts w:ascii="Consolas" w:eastAsia="Consolas" w:hAnsi="Consolas" w:cs="Consolas"/>
          <w:sz w:val="19"/>
          <w:szCs w:val="19"/>
        </w:rPr>
        <w:t>openhistorian, numpy, scipy, matplotlib</w:t>
      </w:r>
      <w:r>
        <w:t>.</w:t>
      </w:r>
    </w:p>
    <w:p w14:paraId="1B9A6398" w14:textId="77777777" w:rsidR="00E67940" w:rsidRDefault="006D424A">
      <w:pPr>
        <w:pStyle w:val="Heading1"/>
        <w:spacing w:before="320" w:after="140"/>
      </w:pPr>
      <w:bookmarkStart w:id="5" w:name="_Toc237939557"/>
      <w:r>
        <w:t>Quick Start</w:t>
      </w:r>
      <w:bookmarkEnd w:id="5"/>
    </w:p>
    <w:p w14:paraId="0CEB89FA" w14:textId="77777777" w:rsidR="00E67940" w:rsidRDefault="006D424A">
      <w:pPr>
        <w:spacing w:after="120"/>
      </w:pPr>
      <w:r>
        <w:t>Analyze the most recent 30 minutes of data from the local historian (defaults: instance PPA, 5-minute analysis windows with 50% overlap):</w:t>
      </w:r>
    </w:p>
    <w:p w14:paraId="4318F870" w14:textId="77777777" w:rsidR="00E67940" w:rsidRDefault="006D424A">
      <w:pPr>
        <w:shd w:val="clear" w:color="auto" w:fill="F2F2F2"/>
        <w:spacing w:after="160"/>
        <w:ind w:left="240" w:right="240"/>
      </w:pPr>
      <w:r>
        <w:rPr>
          <w:rFonts w:ascii="Consolas" w:eastAsia="Consolas" w:hAnsi="Consolas" w:cs="Consolas"/>
          <w:sz w:val="18"/>
          <w:szCs w:val="18"/>
        </w:rPr>
        <w:t>.venv\Scripts\python oscillation_analysis.py</w:t>
      </w:r>
    </w:p>
    <w:p w14:paraId="2FFFB881" w14:textId="77777777" w:rsidR="00E67940" w:rsidRDefault="006D424A">
      <w:pPr>
        <w:spacing w:after="120"/>
      </w:pPr>
      <w:r>
        <w:t xml:space="preserve">Each run creates a time-stamped folder under </w:t>
      </w:r>
      <w:r>
        <w:rPr>
          <w:rFonts w:ascii="Consolas" w:eastAsia="Consolas" w:hAnsi="Consolas" w:cs="Consolas"/>
          <w:sz w:val="19"/>
          <w:szCs w:val="19"/>
        </w:rPr>
        <w:t>oscillation_results\</w:t>
      </w:r>
      <w:r>
        <w:t xml:space="preserve"> and prints a console summary of the identified modes. Open </w:t>
      </w:r>
      <w:r>
        <w:rPr>
          <w:b/>
          <w:bCs/>
        </w:rPr>
        <w:t>report.html</w:t>
      </w:r>
      <w:r>
        <w:t xml:space="preserve"> in that folder for the complete shareable dashboard.</w:t>
      </w:r>
    </w:p>
    <w:p w14:paraId="00560236" w14:textId="77777777" w:rsidR="00E67940" w:rsidRDefault="006D424A">
      <w:pPr>
        <w:pStyle w:val="Heading1"/>
        <w:spacing w:before="320" w:after="140"/>
      </w:pPr>
      <w:bookmarkStart w:id="6" w:name="_Toc237939558"/>
      <w:r>
        <w:t>Command-Line Usage</w:t>
      </w:r>
      <w:bookmarkEnd w:id="6"/>
    </w:p>
    <w:p w14:paraId="7E9F80D2" w14:textId="77777777" w:rsidR="00E67940" w:rsidRDefault="006D424A">
      <w:pPr>
        <w:spacing w:after="120"/>
      </w:pPr>
      <w:r>
        <w:t>All parameters are available as command-line flags (run with --help for the complete list). Common invocations: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6460"/>
      </w:tblGrid>
      <w:tr w:rsidR="00E67940" w14:paraId="083A808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1DE2C3" w14:textId="77777777" w:rsidR="00E67940" w:rsidRDefault="006D424A">
            <w:r>
              <w:rPr>
                <w:b/>
                <w:bCs/>
                <w:sz w:val="19"/>
                <w:szCs w:val="19"/>
              </w:rPr>
              <w:lastRenderedPageBreak/>
              <w:t>Purpose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913F69" w14:textId="77777777" w:rsidR="00E67940" w:rsidRDefault="006D424A">
            <w:r>
              <w:rPr>
                <w:b/>
                <w:bCs/>
                <w:sz w:val="19"/>
                <w:szCs w:val="19"/>
              </w:rPr>
              <w:t>Command</w:t>
            </w:r>
          </w:p>
        </w:tc>
      </w:tr>
      <w:tr w:rsidR="00E67940" w14:paraId="02A61D01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7628028" w14:textId="77777777" w:rsidR="00E67940" w:rsidRDefault="006D424A">
            <w:r>
              <w:rPr>
                <w:sz w:val="19"/>
                <w:szCs w:val="19"/>
              </w:rPr>
              <w:t>Most recent 30 minutes (defaults)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8DB5DB1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</w:t>
            </w:r>
          </w:p>
        </w:tc>
      </w:tr>
      <w:tr w:rsidR="00E67940" w14:paraId="35F17F76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B370B4" w14:textId="77777777" w:rsidR="00E67940" w:rsidRDefault="006D424A">
            <w:r>
              <w:rPr>
                <w:sz w:val="19"/>
                <w:szCs w:val="19"/>
              </w:rPr>
              <w:t>Quick look at recent data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3F76BDB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--lookback-minutes 10 --window-seconds 120</w:t>
            </w:r>
          </w:p>
        </w:tc>
      </w:tr>
      <w:tr w:rsidR="00E67940" w14:paraId="1090E1FE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CB38F9D" w14:textId="77777777" w:rsidR="00E67940" w:rsidRDefault="006D424A">
            <w:r>
              <w:rPr>
                <w:sz w:val="19"/>
                <w:szCs w:val="19"/>
              </w:rPr>
              <w:t>Specific historical range (UTC)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F9920E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--start 2026-08-18T02:00:00 --end 2026-08-18T02:30:00</w:t>
            </w:r>
          </w:p>
        </w:tc>
      </w:tr>
      <w:tr w:rsidR="00E67940" w14:paraId="2E04D5A8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13A821A" w14:textId="77777777" w:rsidR="00E67940" w:rsidRDefault="006D424A">
            <w:r>
              <w:rPr>
                <w:sz w:val="19"/>
                <w:szCs w:val="19"/>
              </w:rPr>
              <w:t>Continuous operation every 30 min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C9DD518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--interval-minutes 30</w:t>
            </w:r>
          </w:p>
        </w:tc>
      </w:tr>
      <w:tr w:rsidR="00E67940" w14:paraId="70C2DB11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A856301" w14:textId="77777777" w:rsidR="00E67940" w:rsidRDefault="006D424A">
            <w:r>
              <w:rPr>
                <w:sz w:val="19"/>
                <w:szCs w:val="19"/>
              </w:rPr>
              <w:t>Remote historian / other instance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A33D01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--host 10.115.2.80 --instance PPA</w:t>
            </w:r>
          </w:p>
        </w:tc>
      </w:tr>
      <w:tr w:rsidR="00E67940" w14:paraId="69C2C57B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5B1DC6" w14:textId="77777777" w:rsidR="00E67940" w:rsidRDefault="006D424A">
            <w:r>
              <w:rPr>
                <w:sz w:val="19"/>
                <w:szCs w:val="19"/>
              </w:rPr>
              <w:t>Include current phasors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89225DA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--signal-types FREQ,VPHM,VPHA,IPHM,IPHA</w:t>
            </w:r>
          </w:p>
        </w:tc>
      </w:tr>
      <w:tr w:rsidR="00E67940" w14:paraId="13730E76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1EDCBE" w14:textId="77777777" w:rsidR="00E67940" w:rsidRDefault="006D424A">
            <w:r>
              <w:rPr>
                <w:sz w:val="19"/>
                <w:szCs w:val="19"/>
              </w:rPr>
              <w:t>List matching channels and exit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B0755CA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--list-points</w:t>
            </w:r>
          </w:p>
        </w:tc>
      </w:tr>
      <w:tr w:rsidR="00E67940" w14:paraId="4B7DB521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FFE83E2" w14:textId="77777777" w:rsidR="00E67940" w:rsidRDefault="006D424A">
            <w:r>
              <w:rPr>
                <w:sz w:val="19"/>
                <w:szCs w:val="19"/>
              </w:rPr>
              <w:t>Show effective configuration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21645BA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--dump-config</w:t>
            </w:r>
          </w:p>
        </w:tc>
      </w:tr>
      <w:tr w:rsidR="00E67940" w14:paraId="2DA63E11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09A948C" w14:textId="77777777" w:rsidR="00E67940" w:rsidRDefault="006D424A">
            <w:r>
              <w:rPr>
                <w:sz w:val="19"/>
                <w:szCs w:val="19"/>
              </w:rPr>
              <w:t>Use a JSON configuration file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41855E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--config config.json</w:t>
            </w:r>
          </w:p>
        </w:tc>
      </w:tr>
      <w:tr w:rsidR="00E67940" w14:paraId="0918F0A3" w14:textId="77777777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A7E0A0" w14:textId="77777777" w:rsidR="00E67940" w:rsidRDefault="006D424A">
            <w:r>
              <w:rPr>
                <w:sz w:val="19"/>
                <w:szCs w:val="19"/>
              </w:rPr>
              <w:t>Disable plots (fastest)</w:t>
            </w:r>
          </w:p>
        </w:tc>
        <w:tc>
          <w:tcPr>
            <w:tcW w:w="64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C613AC9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python oscillation_analysis.py --no-plots</w:t>
            </w:r>
          </w:p>
        </w:tc>
      </w:tr>
    </w:tbl>
    <w:p w14:paraId="1CD458DC" w14:textId="77777777" w:rsidR="00E67940" w:rsidRDefault="00E67940">
      <w:pPr>
        <w:spacing w:after="120"/>
      </w:pPr>
    </w:p>
    <w:p w14:paraId="1961B9E1" w14:textId="77777777" w:rsidR="00E67940" w:rsidRDefault="006D424A">
      <w:pPr>
        <w:spacing w:after="120"/>
      </w:pPr>
      <w:r>
        <w:t xml:space="preserve">A JSON configuration file (see </w:t>
      </w:r>
      <w:r>
        <w:rPr>
          <w:rFonts w:ascii="Consolas" w:eastAsia="Consolas" w:hAnsi="Consolas" w:cs="Consolas"/>
          <w:sz w:val="19"/>
          <w:szCs w:val="19"/>
        </w:rPr>
        <w:t>config.example.json</w:t>
      </w:r>
      <w:r>
        <w:t>) may set any parameter; explicit command-line flags take precedence over the file.</w:t>
      </w:r>
    </w:p>
    <w:p w14:paraId="5524AAEE" w14:textId="77777777" w:rsidR="00E67940" w:rsidRDefault="006D424A">
      <w:pPr>
        <w:pStyle w:val="Heading1"/>
        <w:spacing w:before="320" w:after="140"/>
      </w:pPr>
      <w:bookmarkStart w:id="7" w:name="_Toc237939559"/>
      <w:r>
        <w:t>Configuration Reference</w:t>
      </w:r>
      <w:bookmarkEnd w:id="7"/>
    </w:p>
    <w:p w14:paraId="7ABE3D28" w14:textId="77777777" w:rsidR="00E67940" w:rsidRDefault="006D424A">
      <w:pPr>
        <w:spacing w:after="120"/>
      </w:pPr>
      <w:r>
        <w:t>Key parameters (defaults in parentheses reflect the delivered configuration):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4"/>
        <w:gridCol w:w="2081"/>
        <w:gridCol w:w="4805"/>
      </w:tblGrid>
      <w:tr w:rsidR="00E67940" w14:paraId="6370EB6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3D196B" w14:textId="77777777" w:rsidR="00E67940" w:rsidRDefault="006D424A">
            <w:r>
              <w:rPr>
                <w:b/>
                <w:bCs/>
                <w:sz w:val="19"/>
                <w:szCs w:val="19"/>
              </w:rPr>
              <w:t>Parameter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0521AC" w14:textId="77777777" w:rsidR="00E67940" w:rsidRDefault="006D424A">
            <w:r>
              <w:rPr>
                <w:b/>
                <w:bCs/>
                <w:sz w:val="19"/>
                <w:szCs w:val="19"/>
              </w:rPr>
              <w:t>Default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E98A71" w14:textId="77777777" w:rsidR="00E67940" w:rsidRDefault="006D424A">
            <w:r>
              <w:rPr>
                <w:b/>
                <w:bCs/>
                <w:sz w:val="19"/>
                <w:szCs w:val="19"/>
              </w:rPr>
              <w:t>Description</w:t>
            </w:r>
          </w:p>
        </w:tc>
      </w:tr>
      <w:tr w:rsidR="00E67940" w14:paraId="1AEBB280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041D9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host / instance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F0331F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localhost / PPA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FE62379" w14:textId="77777777" w:rsidR="00E67940" w:rsidRDefault="006D424A">
            <w:r>
              <w:rPr>
                <w:sz w:val="19"/>
                <w:szCs w:val="19"/>
              </w:rPr>
              <w:t>openHistorian server address and instance name</w:t>
            </w:r>
          </w:p>
        </w:tc>
      </w:tr>
      <w:tr w:rsidR="00E67940" w14:paraId="34ADFDC5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F2B8E4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lookback_minutes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4FEE37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30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169D8C6" w14:textId="77777777" w:rsidR="00E67940" w:rsidRDefault="006D424A">
            <w:r>
              <w:rPr>
                <w:sz w:val="19"/>
                <w:szCs w:val="19"/>
              </w:rPr>
              <w:t>Analysis span ending now when start/end are not given</w:t>
            </w:r>
          </w:p>
        </w:tc>
      </w:tr>
      <w:tr w:rsidR="00E67940" w14:paraId="369ABF88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1ED403E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interval_minutes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5C63D8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1341873" w14:textId="77777777" w:rsidR="00E67940" w:rsidRDefault="006D424A">
            <w:r>
              <w:rPr>
                <w:sz w:val="19"/>
                <w:szCs w:val="19"/>
              </w:rPr>
              <w:t>If &gt; 0, rerun continuously at this period</w:t>
            </w:r>
          </w:p>
        </w:tc>
      </w:tr>
      <w:tr w:rsidR="00E67940" w14:paraId="7212955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9B29062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signal_types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59E07D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FREQ,VPHM,VPHA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D05C991" w14:textId="77777777" w:rsidR="00E67940" w:rsidRDefault="006D424A">
            <w:r>
              <w:rPr>
                <w:sz w:val="19"/>
                <w:szCs w:val="19"/>
              </w:rPr>
              <w:t>Signal types retrieved and analyzed</w:t>
            </w:r>
          </w:p>
        </w:tc>
      </w:tr>
      <w:tr w:rsidR="00E67940" w14:paraId="7F633AF0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DF74CDF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window_seconds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34CD803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300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607AC20" w14:textId="77777777" w:rsidR="00E67940" w:rsidRDefault="006D424A">
            <w:r>
              <w:rPr>
                <w:sz w:val="19"/>
                <w:szCs w:val="19"/>
              </w:rPr>
              <w:t>Analysis window length (spec: 5–10 minutes)</w:t>
            </w:r>
          </w:p>
        </w:tc>
      </w:tr>
      <w:tr w:rsidR="00E67940" w14:paraId="3F445F1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D8F7EF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window_overlap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AAC5148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0.5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FB71F9B" w14:textId="77777777" w:rsidR="00E67940" w:rsidRDefault="006D424A">
            <w:r>
              <w:rPr>
                <w:sz w:val="19"/>
                <w:szCs w:val="19"/>
              </w:rPr>
              <w:t>Fractional overlap between windows</w:t>
            </w:r>
          </w:p>
        </w:tc>
      </w:tr>
      <w:tr w:rsidR="00E67940" w14:paraId="0C88EBD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D00D0C5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fs_target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355E01E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10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083D4D5" w14:textId="77777777" w:rsidR="00E67940" w:rsidRDefault="006D424A">
            <w:r>
              <w:rPr>
                <w:sz w:val="19"/>
                <w:szCs w:val="19"/>
              </w:rPr>
              <w:t>Decimation target sample rate (Hz)</w:t>
            </w:r>
          </w:p>
        </w:tc>
      </w:tr>
      <w:tr w:rsidR="00E67940" w14:paraId="61871A18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BCC3F5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f_min / f_max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5A6DB33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0.08 / 3.0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D341143" w14:textId="77777777" w:rsidR="00E67940" w:rsidRDefault="006D424A">
            <w:r>
              <w:rPr>
                <w:sz w:val="19"/>
                <w:szCs w:val="19"/>
              </w:rPr>
              <w:t>Frequency band of engineering interest (Hz)</w:t>
            </w:r>
          </w:p>
        </w:tc>
      </w:tr>
      <w:tr w:rsidR="00E67940" w14:paraId="3906F42A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700F3FF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ar_order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A9D38F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24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C9FC9A1" w14:textId="77777777" w:rsidR="00E67940" w:rsidRDefault="006D424A">
            <w:r>
              <w:rPr>
                <w:sz w:val="19"/>
                <w:szCs w:val="19"/>
              </w:rPr>
              <w:t>Yule-Walker / Burg autoregressive model order</w:t>
            </w:r>
          </w:p>
        </w:tc>
      </w:tr>
      <w:tr w:rsidR="00E67940" w14:paraId="18A8344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AD1BE75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snr_min_db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B84681E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3.0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19B2A07" w14:textId="77777777" w:rsidR="00E67940" w:rsidRDefault="006D424A">
            <w:r>
              <w:rPr>
                <w:sz w:val="19"/>
                <w:szCs w:val="19"/>
              </w:rPr>
              <w:t>Detection threshold at the mode frequency (dB)</w:t>
            </w:r>
          </w:p>
        </w:tc>
      </w:tr>
      <w:tr w:rsidR="00E67940" w14:paraId="7502785F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7EB14B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event_exclusion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86606F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true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E2E65C2" w14:textId="77777777" w:rsidR="00E67940" w:rsidRDefault="006D424A">
            <w:r>
              <w:rPr>
                <w:sz w:val="19"/>
                <w:szCs w:val="19"/>
              </w:rPr>
              <w:t>Exclude event windows from ambient statistics</w:t>
            </w:r>
          </w:p>
        </w:tc>
      </w:tr>
      <w:tr w:rsidR="00E67940" w14:paraId="49ECDDA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D0DDDA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event_freq_dev_hz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9DBF273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0.05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5F1022A" w14:textId="77777777" w:rsidR="00E67940" w:rsidRDefault="006D424A">
            <w:r>
              <w:rPr>
                <w:sz w:val="19"/>
                <w:szCs w:val="19"/>
              </w:rPr>
              <w:t>Event trigger: |f − nominal| threshold (Hz)</w:t>
            </w:r>
          </w:p>
        </w:tc>
      </w:tr>
      <w:tr w:rsidR="00E67940" w14:paraId="1229851A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F00F63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event_rocof_hz_s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2F25096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0.10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50A2B3D" w14:textId="77777777" w:rsidR="00E67940" w:rsidRDefault="006D424A">
            <w:r>
              <w:rPr>
                <w:sz w:val="19"/>
                <w:szCs w:val="19"/>
              </w:rPr>
              <w:t>Event trigger: ROCOF threshold on 1-s smoothed frequency (Hz/s)</w:t>
            </w:r>
          </w:p>
        </w:tc>
      </w:tr>
      <w:tr w:rsidR="00E67940" w14:paraId="04904B3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E3FAEE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event_vmag_dev_pu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E1E570D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0.03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CFE585A" w14:textId="77777777" w:rsidR="00E67940" w:rsidRDefault="006D424A">
            <w:r>
              <w:rPr>
                <w:sz w:val="19"/>
                <w:szCs w:val="19"/>
              </w:rPr>
              <w:t>Event trigger: voltage magnitude deviation (per-unit)</w:t>
            </w:r>
          </w:p>
        </w:tc>
      </w:tr>
      <w:tr w:rsidR="00E67940" w14:paraId="33B88750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EA33522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remove_steps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63A2840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true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027035B" w14:textId="77777777" w:rsidR="00E67940" w:rsidRDefault="006D424A">
            <w:r>
              <w:rPr>
                <w:sz w:val="19"/>
                <w:szCs w:val="19"/>
              </w:rPr>
              <w:t>Repair level-shift discontinuities (replay splices, angle resyncs)</w:t>
            </w:r>
          </w:p>
        </w:tc>
      </w:tr>
      <w:tr w:rsidR="00E67940" w14:paraId="43B9417B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92BC5F4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poor_damping_pct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55FCD4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5.0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D12D08" w14:textId="77777777" w:rsidR="00E67940" w:rsidRDefault="006D424A">
            <w:r>
              <w:rPr>
                <w:sz w:val="19"/>
                <w:szCs w:val="19"/>
              </w:rPr>
              <w:t>Damping alert threshold for persistent modes (%)</w:t>
            </w:r>
          </w:p>
        </w:tc>
      </w:tr>
      <w:tr w:rsidR="00E67940" w14:paraId="79E90A09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11E0A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min_data_fraction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9E43FC3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0.6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46ECE32" w14:textId="77777777" w:rsidR="00E67940" w:rsidRDefault="006D424A">
            <w:r>
              <w:rPr>
                <w:sz w:val="19"/>
                <w:szCs w:val="19"/>
              </w:rPr>
              <w:t>Minimum data availability to keep a channel</w:t>
            </w:r>
          </w:p>
        </w:tc>
      </w:tr>
      <w:tr w:rsidR="00E67940" w14:paraId="40D1270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C32EC1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lastRenderedPageBreak/>
              <w:t>output_dir</w:t>
            </w:r>
          </w:p>
        </w:tc>
        <w:tc>
          <w:tcPr>
            <w:tcW w:w="19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898DD4A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oscillation_results</w:t>
            </w:r>
          </w:p>
        </w:tc>
        <w:tc>
          <w:tcPr>
            <w:tcW w:w="49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B6E481C" w14:textId="77777777" w:rsidR="00E67940" w:rsidRDefault="006D424A">
            <w:r>
              <w:rPr>
                <w:sz w:val="19"/>
                <w:szCs w:val="19"/>
              </w:rPr>
              <w:t>Root folder for run outputs</w:t>
            </w:r>
          </w:p>
        </w:tc>
      </w:tr>
    </w:tbl>
    <w:p w14:paraId="32D3DF23" w14:textId="77777777" w:rsidR="00E67940" w:rsidRDefault="006D424A">
      <w:pPr>
        <w:pStyle w:val="Heading1"/>
        <w:spacing w:before="320" w:after="140"/>
      </w:pPr>
      <w:bookmarkStart w:id="8" w:name="_Toc237939560"/>
      <w:r>
        <w:t>Scheduled and Periodic Operation</w:t>
      </w:r>
      <w:bookmarkEnd w:id="8"/>
    </w:p>
    <w:p w14:paraId="05240B26" w14:textId="77777777" w:rsidR="00E67940" w:rsidRDefault="006D424A">
      <w:pPr>
        <w:spacing w:after="120"/>
      </w:pPr>
      <w:r>
        <w:t>Two options support the periodic-processing requirement:</w:t>
      </w:r>
    </w:p>
    <w:p w14:paraId="52CC6494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Built-in loop: </w:t>
      </w:r>
      <w:r>
        <w:t xml:space="preserve">run with </w:t>
      </w:r>
      <w:r>
        <w:rPr>
          <w:rFonts w:ascii="Consolas" w:eastAsia="Consolas" w:hAnsi="Consolas" w:cs="Consolas"/>
          <w:sz w:val="19"/>
          <w:szCs w:val="19"/>
        </w:rPr>
        <w:t>--interval-minutes 30</w:t>
      </w:r>
      <w:r>
        <w:t xml:space="preserve"> to re-analyze continuously at a fixed period from a console or service wrapper.</w:t>
      </w:r>
    </w:p>
    <w:p w14:paraId="063B6F51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Windows Task Scheduler: </w:t>
      </w:r>
      <w:r>
        <w:t>register a daily task, e.g. daily processing of the previous 30-minute window at 01:00:</w:t>
      </w:r>
    </w:p>
    <w:p w14:paraId="312A18F8" w14:textId="77777777" w:rsidR="00E67940" w:rsidRDefault="006D424A">
      <w:pPr>
        <w:shd w:val="clear" w:color="auto" w:fill="F2F2F2"/>
        <w:ind w:left="240" w:right="240"/>
      </w:pPr>
      <w:r>
        <w:rPr>
          <w:rFonts w:ascii="Consolas" w:eastAsia="Consolas" w:hAnsi="Consolas" w:cs="Consolas"/>
          <w:sz w:val="18"/>
          <w:szCs w:val="18"/>
        </w:rPr>
        <w:t>schtasks /Create /SC DAILY /ST 01:00 /TN "PMU Oscillation Analysis" ^</w:t>
      </w:r>
    </w:p>
    <w:p w14:paraId="370CB1D1" w14:textId="77777777" w:rsidR="00E67940" w:rsidRDefault="006D424A">
      <w:pPr>
        <w:shd w:val="clear" w:color="auto" w:fill="F2F2F2"/>
        <w:spacing w:after="160"/>
        <w:ind w:left="240" w:right="240"/>
      </w:pPr>
      <w:r>
        <w:rPr>
          <w:rFonts w:ascii="Consolas" w:eastAsia="Consolas" w:hAnsi="Consolas" w:cs="Consolas"/>
          <w:sz w:val="18"/>
          <w:szCs w:val="18"/>
        </w:rPr>
        <w:t xml:space="preserve">  /TR "C:\path\to\.venv\Scripts\python.exe C:\path\to\oscillation_analysis.py"</w:t>
      </w:r>
    </w:p>
    <w:p w14:paraId="7D0E82F4" w14:textId="77777777" w:rsidR="00E67940" w:rsidRDefault="006D424A">
      <w:pPr>
        <w:spacing w:after="120"/>
      </w:pPr>
      <w:r>
        <w:t>Each scheduled run writes an independent time-stamped results folder, so historical runs accumulate for long-term trend assessment (the structured results.json/CSV outputs are designed for downstream trending).</w:t>
      </w:r>
    </w:p>
    <w:p w14:paraId="30C2B74A" w14:textId="77777777" w:rsidR="00E67940" w:rsidRDefault="006D424A">
      <w:pPr>
        <w:pStyle w:val="Heading1"/>
        <w:spacing w:before="320" w:after="140"/>
      </w:pPr>
      <w:bookmarkStart w:id="9" w:name="_Toc237939561"/>
      <w:r>
        <w:t>Methodology</w:t>
      </w:r>
      <w:bookmarkEnd w:id="9"/>
    </w:p>
    <w:p w14:paraId="38FE540C" w14:textId="77777777" w:rsidR="00E67940" w:rsidRDefault="006D424A">
      <w:pPr>
        <w:pStyle w:val="Heading2"/>
        <w:spacing w:before="240" w:after="120"/>
      </w:pPr>
      <w:bookmarkStart w:id="10" w:name="_Toc237939562"/>
      <w:r>
        <w:t>Processing Pipeline</w:t>
      </w:r>
      <w:bookmarkEnd w:id="10"/>
    </w:p>
    <w:p w14:paraId="0FEB12C0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Retrieval — </w:t>
      </w:r>
      <w:r>
        <w:t>chunked streaming reads of all selected points in a single pass over the SNAPdb socket (approximately 200,000 samples/s observed), with automatic clamping to the data span actually present in the archive.</w:t>
      </w:r>
    </w:p>
    <w:p w14:paraId="483B00AE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Quality screening — </w:t>
      </w:r>
      <w:r>
        <w:t>historian quality flags, spike rejection (robust z-score), interpolation of short gaps, per-channel availability thresholds, and repair of level-shift discontinuities (“de-jump”) such as replay-loop splices or PMU angle resyncs.</w:t>
      </w:r>
    </w:p>
    <w:p w14:paraId="1A95DE24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Event screening — </w:t>
      </w:r>
      <w:r>
        <w:t>frequency deviation, smoothed ROCOF, voltage-magnitude deviation and angle-step detectors mark disturbance intervals; windows overlapping events beyond a configurable fraction are excluded from ambient-mode statistics.</w:t>
      </w:r>
    </w:p>
    <w:p w14:paraId="0277D722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Conditioning — </w:t>
      </w:r>
      <w:r>
        <w:t>angle unwrap, magnitude normalization to per-unit, anti-aliased decimation to 10 Hz, and 0.05 Hz highpass to remove slow trends and angle drift.</w:t>
      </w:r>
    </w:p>
    <w:p w14:paraId="4A84F4D7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Frequency-domain analysis — </w:t>
      </w:r>
      <w:r>
        <w:t>Welch power spectral density per channel per analysis window, fleet median PSD by signal type, and a spectrogram for temporal-spectral context.</w:t>
      </w:r>
    </w:p>
    <w:p w14:paraId="69B1AC81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Modal identification — </w:t>
      </w:r>
      <w:r>
        <w:t>Yule-Walker autoregressive estimation per channel/window yields mode frequency and damping ratio from the AR poles; amplitude is obtained by integrating the PSD around the mode frequency; an independent Burg AR fit provides a cross-method consistency check.</w:t>
      </w:r>
    </w:p>
    <w:p w14:paraId="6033BDE2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Aggregation — </w:t>
      </w:r>
      <w:r>
        <w:t>detections are clustered by frequency across windows and channels; each cluster reports median/IQR statistics, persistence, observability, amplitude by signal type, growth/decay trends, and confidence.</w:t>
      </w:r>
    </w:p>
    <w:p w14:paraId="3C086BF5" w14:textId="77777777" w:rsidR="00E67940" w:rsidRDefault="006D424A">
      <w:pPr>
        <w:pStyle w:val="ListParagraph"/>
        <w:numPr>
          <w:ilvl w:val="0"/>
          <w:numId w:val="3"/>
        </w:numPr>
        <w:spacing w:after="100"/>
      </w:pPr>
      <w:r>
        <w:rPr>
          <w:b/>
          <w:bCs/>
        </w:rPr>
        <w:t xml:space="preserve">Fleet-wide assessment — </w:t>
      </w:r>
      <w:r>
        <w:t>for each dominant mode, averaged cross-spectra against a reference channel yield relative amplitude, relative phase, and coherence per channel (mode shape), plus a participation ranking.</w:t>
      </w:r>
    </w:p>
    <w:p w14:paraId="2A225C37" w14:textId="77777777" w:rsidR="00E67940" w:rsidRDefault="006D424A">
      <w:pPr>
        <w:pStyle w:val="Heading2"/>
        <w:spacing w:before="240" w:after="120"/>
      </w:pPr>
      <w:bookmarkStart w:id="11" w:name="_Toc237939563"/>
      <w:r>
        <w:t>Confidence Metric</w:t>
      </w:r>
      <w:bookmarkEnd w:id="11"/>
    </w:p>
    <w:p w14:paraId="03386507" w14:textId="77777777" w:rsidR="00E67940" w:rsidRDefault="006D424A">
      <w:pPr>
        <w:spacing w:after="120"/>
      </w:pPr>
      <w:r>
        <w:t>Every aggregated mode carries a confidence score in [0, 1]:</w:t>
      </w:r>
    </w:p>
    <w:p w14:paraId="2588761E" w14:textId="77777777" w:rsidR="00E67940" w:rsidRDefault="006D424A">
      <w:pPr>
        <w:shd w:val="clear" w:color="auto" w:fill="F2F2F2"/>
        <w:spacing w:after="160"/>
        <w:ind w:left="240" w:right="240"/>
      </w:pPr>
      <w:r>
        <w:rPr>
          <w:rFonts w:ascii="Consolas" w:eastAsia="Consolas" w:hAnsi="Consolas" w:cs="Consolas"/>
          <w:sz w:val="18"/>
          <w:szCs w:val="18"/>
        </w:rPr>
        <w:t>confidence = 0.35*SNR + 0.30*persistence + 0.20*method-consistency + 0.15*observability</w:t>
      </w:r>
    </w:p>
    <w:p w14:paraId="7F2815B1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lastRenderedPageBreak/>
        <w:t>SNR: median signal-to-noise ratio at the mode frequency (saturates at 12 dB)</w:t>
      </w:r>
    </w:p>
    <w:p w14:paraId="3FD5325E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Persistence: fraction of ambient analysis windows in which the mode was detected</w:t>
      </w:r>
    </w:p>
    <w:p w14:paraId="70FA1EC8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Method consistency: agreement between the independent Yule-Walker and Burg estimates of frequency and damping</w:t>
      </w:r>
    </w:p>
    <w:p w14:paraId="467BC84E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t>Observability: fraction of analyzed channels detecting the mode (saturates at 50%)</w:t>
      </w:r>
    </w:p>
    <w:p w14:paraId="15C036AC" w14:textId="77777777" w:rsidR="00E67940" w:rsidRDefault="006D424A">
      <w:pPr>
        <w:spacing w:after="120"/>
      </w:pPr>
      <w:r>
        <w:t>Modes with fewer than 3 detections or confidence below 30% are classified spurious-likely. Modes at or above 75% confidence are high-confidence; 50–75% moderate; 30–50% low. A persistent mode (persistence ≥ 50%) whose median damping is below the poor-damping threshold raises an engineering-review alert.</w:t>
      </w:r>
    </w:p>
    <w:p w14:paraId="09FE3243" w14:textId="77777777" w:rsidR="00E67940" w:rsidRDefault="006D424A">
      <w:pPr>
        <w:pStyle w:val="Heading1"/>
        <w:spacing w:before="320" w:after="140"/>
      </w:pPr>
      <w:bookmarkStart w:id="12" w:name="_Toc237939564"/>
      <w:r>
        <w:t>Output Files</w:t>
      </w:r>
      <w:bookmarkEnd w:id="12"/>
    </w:p>
    <w:p w14:paraId="77DAFCA4" w14:textId="77777777" w:rsidR="00E67940" w:rsidRDefault="006D424A">
      <w:pPr>
        <w:spacing w:after="120"/>
      </w:pPr>
      <w:r>
        <w:t xml:space="preserve">Each run writes </w:t>
      </w:r>
      <w:r>
        <w:rPr>
          <w:rFonts w:ascii="Consolas" w:eastAsia="Consolas" w:hAnsi="Consolas" w:cs="Consolas"/>
          <w:sz w:val="19"/>
          <w:szCs w:val="19"/>
        </w:rPr>
        <w:t>oscillation_results\run_&lt;UTC timestamp&gt;\</w:t>
      </w:r>
      <w:r>
        <w:t xml:space="preserve"> containing: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6860"/>
      </w:tblGrid>
      <w:tr w:rsidR="00E67940" w14:paraId="24B1230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1B2AA6" w14:textId="77777777" w:rsidR="00E67940" w:rsidRDefault="006D424A">
            <w:r>
              <w:rPr>
                <w:b/>
                <w:bCs/>
                <w:sz w:val="19"/>
                <w:szCs w:val="19"/>
              </w:rPr>
              <w:t>File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3FDA93" w14:textId="77777777" w:rsidR="00E67940" w:rsidRDefault="006D424A">
            <w:r>
              <w:rPr>
                <w:b/>
                <w:bCs/>
                <w:sz w:val="19"/>
                <w:szCs w:val="19"/>
              </w:rPr>
              <w:t>Contents</w:t>
            </w:r>
          </w:p>
        </w:tc>
      </w:tr>
      <w:tr w:rsidR="00E67940" w14:paraId="60AB2698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A9A87E8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report.html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55CB57C" w14:textId="77777777" w:rsidR="00E67940" w:rsidRDefault="006D424A">
            <w:r>
              <w:rPr>
                <w:sz w:val="19"/>
                <w:szCs w:val="19"/>
              </w:rPr>
              <w:t>Self-contained dashboard: alerts, KPI summary, sortable mode table, amplitudes and trends, mode shapes, events, data quality, and all plots embedded in one shareable file</w:t>
            </w:r>
          </w:p>
        </w:tc>
      </w:tr>
      <w:tr w:rsidR="00E67940" w14:paraId="7A10A9E3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0F4792D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report.md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DD972A9" w14:textId="77777777" w:rsidR="00E67940" w:rsidRDefault="006D424A">
            <w:r>
              <w:rPr>
                <w:sz w:val="19"/>
                <w:szCs w:val="19"/>
              </w:rPr>
              <w:t>Markdown summary of the same content</w:t>
            </w:r>
          </w:p>
        </w:tc>
      </w:tr>
      <w:tr w:rsidR="00E67940" w14:paraId="5A57F235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C526A44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results.json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0C395D6" w14:textId="77777777" w:rsidR="00E67940" w:rsidRDefault="006D424A">
            <w:r>
              <w:rPr>
                <w:sz w:val="19"/>
                <w:szCs w:val="19"/>
              </w:rPr>
              <w:t>Full structured results for downstream tooling and long-term trending</w:t>
            </w:r>
          </w:p>
        </w:tc>
      </w:tr>
      <w:tr w:rsidR="00E67940" w14:paraId="359A9B3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AF3AF52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modes_summary.csv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199D559" w14:textId="77777777" w:rsidR="00E67940" w:rsidRDefault="006D424A">
            <w:r>
              <w:rPr>
                <w:sz w:val="19"/>
                <w:szCs w:val="19"/>
              </w:rPr>
              <w:t>One row per aggregated mode with all characteristics</w:t>
            </w:r>
          </w:p>
        </w:tc>
      </w:tr>
      <w:tr w:rsidR="00E67940" w14:paraId="0318D68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7414568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window_modes.csv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E1051A3" w14:textId="77777777" w:rsidR="00E67940" w:rsidRDefault="006D424A">
            <w:r>
              <w:rPr>
                <w:sz w:val="19"/>
                <w:szCs w:val="19"/>
              </w:rPr>
              <w:t>Every per-channel per-window detection (trending raw material)</w:t>
            </w:r>
          </w:p>
        </w:tc>
      </w:tr>
      <w:tr w:rsidR="00E67940" w14:paraId="1D444E1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AEA9357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mode_shapes.csv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4236772" w14:textId="77777777" w:rsidR="00E67940" w:rsidRDefault="006D424A">
            <w:r>
              <w:rPr>
                <w:sz w:val="19"/>
                <w:szCs w:val="19"/>
              </w:rPr>
              <w:t>Relative amplitude/phase/coherence per channel for dominant modes</w:t>
            </w:r>
          </w:p>
        </w:tc>
      </w:tr>
      <w:tr w:rsidR="00E67940" w14:paraId="284E060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075963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events.csv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A1164A0" w14:textId="77777777" w:rsidR="00E67940" w:rsidRDefault="006D424A">
            <w:r>
              <w:rPr>
                <w:sz w:val="19"/>
                <w:szCs w:val="19"/>
              </w:rPr>
              <w:t>Detected disturbance intervals with triggers</w:t>
            </w:r>
          </w:p>
        </w:tc>
      </w:tr>
      <w:tr w:rsidR="00E67940" w14:paraId="5D780F9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449DAFC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channels.csv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062E857" w14:textId="77777777" w:rsidR="00E67940" w:rsidRDefault="006D424A">
            <w:r>
              <w:rPr>
                <w:sz w:val="19"/>
                <w:szCs w:val="19"/>
              </w:rPr>
              <w:t>Per-channel data-quality statistics and inclusion status</w:t>
            </w:r>
          </w:p>
        </w:tc>
      </w:tr>
      <w:tr w:rsidR="00E67940" w14:paraId="67889965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1FA3632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plots\*.png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56FDF40E" w14:textId="77777777" w:rsidR="00E67940" w:rsidRDefault="006D424A">
            <w:r>
              <w:rPr>
                <w:sz w:val="19"/>
                <w:szCs w:val="19"/>
              </w:rPr>
              <w:t>PSD overview, spectrogram, mode trends, polar mode shapes, participation, raw-data overview</w:t>
            </w:r>
          </w:p>
        </w:tc>
      </w:tr>
      <w:tr w:rsidR="00E67940" w14:paraId="7FEEAD11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E71AF80" w14:textId="77777777" w:rsidR="00E67940" w:rsidRDefault="006D424A">
            <w:r>
              <w:rPr>
                <w:rFonts w:ascii="Consolas" w:eastAsia="Consolas" w:hAnsi="Consolas" w:cs="Consolas"/>
                <w:sz w:val="18"/>
                <w:szCs w:val="18"/>
              </w:rPr>
              <w:t>analysis.log</w:t>
            </w:r>
          </w:p>
        </w:tc>
        <w:tc>
          <w:tcPr>
            <w:tcW w:w="68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A66AC58" w14:textId="77777777" w:rsidR="00E67940" w:rsidRDefault="006D424A">
            <w:r>
              <w:rPr>
                <w:sz w:val="19"/>
                <w:szCs w:val="19"/>
              </w:rPr>
              <w:t>Run log</w:t>
            </w:r>
          </w:p>
        </w:tc>
      </w:tr>
    </w:tbl>
    <w:p w14:paraId="0272641C" w14:textId="77777777" w:rsidR="00E67940" w:rsidRDefault="006D424A">
      <w:pPr>
        <w:pStyle w:val="Heading1"/>
        <w:spacing w:before="320" w:after="140"/>
      </w:pPr>
      <w:bookmarkStart w:id="13" w:name="_Toc237939565"/>
      <w:r>
        <w:t>Interpreting Results</w:t>
      </w:r>
      <w:bookmarkEnd w:id="13"/>
    </w:p>
    <w:p w14:paraId="79772E41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Damping ratio: </w:t>
      </w:r>
      <w:r>
        <w:t>values below ~5% for persistent modes warrant engineering attention; 5–10% merits monitoring; above ~10% is well damped. Ambient AR estimates are most accurate precisely in the poorly damped range that matters; heavily damped modes (&gt; 10%) carry wider uncertainty but pose no stability concern.</w:t>
      </w:r>
    </w:p>
    <w:p w14:paraId="6C367AA2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Confidence: </w:t>
      </w:r>
      <w:r>
        <w:t>prioritize review by confidence and persistence. A high-SNR, low-persistence detection is often a transient or forced oscillation burst; inspect the spectrogram and mode-trends plots.</w:t>
      </w:r>
    </w:p>
    <w:p w14:paraId="010B95E9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Mode shape: </w:t>
      </w:r>
      <w:r>
        <w:t>channels grouped near 0° relative phase oscillate together; groups near 180° apart oscillate against each other. Coherence near 1.0 indicates the phase/amplitude estimate is reliable.</w:t>
      </w:r>
    </w:p>
    <w:p w14:paraId="3482C544" w14:textId="77777777" w:rsidR="00E67940" w:rsidRDefault="006D424A"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Amplitude units: </w:t>
      </w:r>
      <w:r>
        <w:t>frequency modes in Hz, angle modes in degrees, magnitude modes in per-unit of each channel's median level.</w:t>
      </w:r>
    </w:p>
    <w:p w14:paraId="17D68F55" w14:textId="77777777" w:rsidR="00E67940" w:rsidRDefault="006D424A">
      <w:pPr>
        <w:pStyle w:val="Heading1"/>
        <w:spacing w:before="320" w:after="140"/>
      </w:pPr>
      <w:bookmarkStart w:id="14" w:name="_Toc237939566"/>
      <w:r>
        <w:t>Troubleshooting</w:t>
      </w:r>
      <w:bookmarkEnd w:id="14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760"/>
      </w:tblGrid>
      <w:tr w:rsidR="00E67940" w14:paraId="34154A7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4575C1" w14:textId="77777777" w:rsidR="00E67940" w:rsidRDefault="006D424A">
            <w:r>
              <w:rPr>
                <w:b/>
                <w:bCs/>
                <w:sz w:val="19"/>
                <w:szCs w:val="19"/>
              </w:rPr>
              <w:t>Symptom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EEAF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C31BFC" w14:textId="77777777" w:rsidR="00E67940" w:rsidRDefault="006D424A">
            <w:r>
              <w:rPr>
                <w:b/>
                <w:bCs/>
                <w:sz w:val="19"/>
                <w:szCs w:val="19"/>
              </w:rPr>
              <w:t>Resolution</w:t>
            </w:r>
          </w:p>
        </w:tc>
      </w:tr>
      <w:tr w:rsidR="00E67940" w14:paraId="7C7AEDC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D72E28" w14:textId="77777777" w:rsidR="00E67940" w:rsidRDefault="006D424A">
            <w:r>
              <w:rPr>
                <w:sz w:val="19"/>
                <w:szCs w:val="19"/>
              </w:rPr>
              <w:t>“No data returned for the requested range”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D129214" w14:textId="77777777" w:rsidR="00E67940" w:rsidRDefault="006D424A">
            <w:r>
              <w:rPr>
                <w:sz w:val="19"/>
                <w:szCs w:val="19"/>
              </w:rPr>
              <w:t>The archive does not extend that far back. Reduce --lookback-minutes or verify the historian is collecting data.</w:t>
            </w:r>
          </w:p>
        </w:tc>
      </w:tr>
      <w:tr w:rsidR="00E67940" w14:paraId="06627CD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300F218" w14:textId="77777777" w:rsidR="00E67940" w:rsidRDefault="006D424A">
            <w:r>
              <w:rPr>
                <w:sz w:val="19"/>
                <w:szCs w:val="19"/>
              </w:rPr>
              <w:lastRenderedPageBreak/>
              <w:t>Connection refused on port 38402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6542D81" w14:textId="77777777" w:rsidR="00E67940" w:rsidRDefault="006D424A">
            <w:r>
              <w:rPr>
                <w:sz w:val="19"/>
                <w:szCs w:val="19"/>
              </w:rPr>
              <w:t>Verify the openHistorian service is running and the SNAPdb data services port is enabled/reachable (firewall).</w:t>
            </w:r>
          </w:p>
        </w:tc>
      </w:tr>
      <w:tr w:rsidR="00E67940" w14:paraId="5B4114B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0B5C08D1" w14:textId="77777777" w:rsidR="00E67940" w:rsidRDefault="006D424A">
            <w:r>
              <w:rPr>
                <w:sz w:val="19"/>
                <w:szCs w:val="19"/>
              </w:rPr>
              <w:t>Metadata refresh fails on port 7175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4CB030E" w14:textId="77777777" w:rsidR="00E67940" w:rsidRDefault="006D424A">
            <w:r>
              <w:rPr>
                <w:sz w:val="19"/>
                <w:szCs w:val="19"/>
              </w:rPr>
              <w:t>Confirm the STTP internal data publisher port; override with --sttp-port if configured differently.</w:t>
            </w:r>
          </w:p>
        </w:tc>
      </w:tr>
      <w:tr w:rsidR="00E67940" w14:paraId="1377B281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AC48825" w14:textId="77777777" w:rsidR="00E67940" w:rsidRDefault="006D424A">
            <w:r>
              <w:rPr>
                <w:sz w:val="19"/>
                <w:szCs w:val="19"/>
              </w:rPr>
              <w:t>All windows flagged as event windows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0A7E137" w14:textId="77777777" w:rsidR="00E67940" w:rsidRDefault="006D424A">
            <w:r>
              <w:rPr>
                <w:sz w:val="19"/>
                <w:szCs w:val="19"/>
              </w:rPr>
              <w:t>Thresholds too tight for the data. Raise event thresholds, or lower sensitivity of exclusion via event_max_window_overlap; as a diagnostic, run with --no-event-exclusion.</w:t>
            </w:r>
          </w:p>
        </w:tc>
      </w:tr>
      <w:tr w:rsidR="00E67940" w14:paraId="3056F6E9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7207C930" w14:textId="77777777" w:rsidR="00E67940" w:rsidRDefault="006D424A">
            <w:r>
              <w:rPr>
                <w:sz w:val="19"/>
                <w:szCs w:val="19"/>
              </w:rPr>
              <w:t>Channels excluded for low availability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2FBE3DD6" w14:textId="77777777" w:rsidR="00E67940" w:rsidRDefault="006D424A">
            <w:r>
              <w:rPr>
                <w:sz w:val="19"/>
                <w:szCs w:val="19"/>
              </w:rPr>
              <w:t>See channels.csv for per-channel statistics; lower min_data_fraction to retain sparse channels if appropriate.</w:t>
            </w:r>
          </w:p>
        </w:tc>
      </w:tr>
      <w:tr w:rsidR="00E67940" w14:paraId="28B7FA3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134B1D04" w14:textId="77777777" w:rsidR="00E67940" w:rsidRDefault="006D424A">
            <w:r>
              <w:rPr>
                <w:sz w:val="19"/>
                <w:szCs w:val="19"/>
              </w:rPr>
              <w:t>Many high-damping, low-confidence modes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43A4EA29" w14:textId="77777777" w:rsidR="00E67940" w:rsidRDefault="006D424A">
            <w:r>
              <w:rPr>
                <w:sz w:val="19"/>
                <w:szCs w:val="19"/>
              </w:rPr>
              <w:t>Normal for broadband ambient noise. Filter results by confidence ≥ 50% and damping ≤ 15% when reviewing.</w:t>
            </w:r>
          </w:p>
        </w:tc>
      </w:tr>
      <w:tr w:rsidR="00E67940" w14:paraId="2E5CDDA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3506E939" w14:textId="77777777" w:rsidR="00E67940" w:rsidRDefault="006D424A">
            <w:r>
              <w:rPr>
                <w:sz w:val="19"/>
                <w:szCs w:val="19"/>
              </w:rPr>
              <w:t>Runs are slow with plots enabled</w:t>
            </w:r>
          </w:p>
        </w:tc>
        <w:tc>
          <w:tcPr>
            <w:tcW w:w="576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top w:w="40" w:type="dxa"/>
              <w:left w:w="100" w:type="dxa"/>
              <w:bottom w:w="40" w:type="dxa"/>
              <w:right w:w="100" w:type="dxa"/>
            </w:tcMar>
          </w:tcPr>
          <w:p w14:paraId="652DEFFE" w14:textId="77777777" w:rsidR="00E67940" w:rsidRDefault="006D424A">
            <w:r>
              <w:rPr>
                <w:sz w:val="19"/>
                <w:szCs w:val="19"/>
              </w:rPr>
              <w:t>Use --no-plots for scheduled bulk processing; plots add several seconds per run.</w:t>
            </w:r>
          </w:p>
        </w:tc>
      </w:tr>
    </w:tbl>
    <w:p w14:paraId="3BAF5B15" w14:textId="77777777" w:rsidR="00E67940" w:rsidRDefault="00E67940">
      <w:pPr>
        <w:spacing w:after="120"/>
      </w:pPr>
    </w:p>
    <w:p w14:paraId="5145F631" w14:textId="77777777" w:rsidR="00E67940" w:rsidRDefault="006D424A">
      <w:pPr>
        <w:spacing w:after="120"/>
      </w:pPr>
      <w:r>
        <w:t xml:space="preserve">For methodology validation details, see </w:t>
      </w:r>
      <w:r>
        <w:rPr>
          <w:rFonts w:ascii="Consolas" w:eastAsia="Consolas" w:hAnsi="Consolas" w:cs="Consolas"/>
          <w:sz w:val="19"/>
          <w:szCs w:val="19"/>
        </w:rPr>
        <w:t>test_modal_math.py</w:t>
      </w:r>
      <w:r>
        <w:t xml:space="preserve"> (synthetic-signal checks of the Yule-Walker and Burg estimators). Utility scripts </w:t>
      </w:r>
      <w:r>
        <w:rPr>
          <w:rFonts w:ascii="Consolas" w:eastAsia="Consolas" w:hAnsi="Consolas" w:cs="Consolas"/>
          <w:sz w:val="19"/>
          <w:szCs w:val="19"/>
        </w:rPr>
        <w:t>explore_historian.py</w:t>
      </w:r>
      <w:r>
        <w:t xml:space="preserve"> (connectivity/metadata probe) and </w:t>
      </w:r>
      <w:r>
        <w:rPr>
          <w:rFonts w:ascii="Consolas" w:eastAsia="Consolas" w:hAnsi="Consolas" w:cs="Consolas"/>
          <w:sz w:val="19"/>
          <w:szCs w:val="19"/>
        </w:rPr>
        <w:t>diagnose_events.py</w:t>
      </w:r>
      <w:r>
        <w:t xml:space="preserve"> (event-threshold tuning) are included alongside the main tool.</w:t>
      </w:r>
    </w:p>
    <w:sectPr w:rsidR="00E67940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0BFEB" w14:textId="77777777" w:rsidR="006D424A" w:rsidRDefault="006D424A">
      <w:r>
        <w:separator/>
      </w:r>
    </w:p>
  </w:endnote>
  <w:endnote w:type="continuationSeparator" w:id="0">
    <w:p w14:paraId="61744765" w14:textId="77777777" w:rsidR="006D424A" w:rsidRDefault="006D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0C695" w14:textId="77777777" w:rsidR="00E67940" w:rsidRDefault="006D424A">
    <w:pPr>
      <w:jc w:val="center"/>
    </w:pPr>
    <w:r>
      <w:rPr>
        <w:color w:val="808080"/>
        <w:sz w:val="17"/>
        <w:szCs w:val="17"/>
      </w:rPr>
      <w:t xml:space="preserve">Page </w:t>
    </w:r>
    <w:r>
      <w:rPr>
        <w:color w:val="808080"/>
        <w:sz w:val="17"/>
        <w:szCs w:val="17"/>
      </w:rPr>
      <w:fldChar w:fldCharType="begin"/>
    </w:r>
    <w:r>
      <w:rPr>
        <w:color w:val="808080"/>
        <w:sz w:val="17"/>
        <w:szCs w:val="17"/>
      </w:rPr>
      <w:instrText>PAGE</w:instrText>
    </w:r>
    <w:r>
      <w:rPr>
        <w:color w:val="808080"/>
        <w:sz w:val="17"/>
        <w:szCs w:val="17"/>
      </w:rPr>
      <w:fldChar w:fldCharType="separate"/>
    </w:r>
    <w:r>
      <w:rPr>
        <w:noProof/>
        <w:color w:val="808080"/>
        <w:sz w:val="17"/>
        <w:szCs w:val="17"/>
      </w:rPr>
      <w:t>1</w:t>
    </w:r>
    <w:r>
      <w:rPr>
        <w:color w:val="808080"/>
        <w:sz w:val="17"/>
        <w:szCs w:val="17"/>
      </w:rPr>
      <w:fldChar w:fldCharType="end"/>
    </w:r>
    <w:r>
      <w:rPr>
        <w:color w:val="808080"/>
        <w:sz w:val="17"/>
        <w:szCs w:val="17"/>
      </w:rPr>
      <w:t xml:space="preserve"> of </w:t>
    </w:r>
    <w:r>
      <w:rPr>
        <w:color w:val="808080"/>
        <w:sz w:val="17"/>
        <w:szCs w:val="17"/>
      </w:rPr>
      <w:fldChar w:fldCharType="begin"/>
    </w:r>
    <w:r>
      <w:rPr>
        <w:color w:val="808080"/>
        <w:sz w:val="17"/>
        <w:szCs w:val="17"/>
      </w:rPr>
      <w:instrText>NUMPAGES</w:instrText>
    </w:r>
    <w:r>
      <w:rPr>
        <w:color w:val="808080"/>
        <w:sz w:val="17"/>
        <w:szCs w:val="17"/>
      </w:rPr>
      <w:fldChar w:fldCharType="separate"/>
    </w:r>
    <w:r>
      <w:rPr>
        <w:noProof/>
        <w:color w:val="808080"/>
        <w:sz w:val="17"/>
        <w:szCs w:val="17"/>
      </w:rPr>
      <w:t>2</w:t>
    </w:r>
    <w:r>
      <w:rPr>
        <w:color w:val="808080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E7C84" w14:textId="77777777" w:rsidR="006D424A" w:rsidRDefault="006D424A">
      <w:r>
        <w:separator/>
      </w:r>
    </w:p>
  </w:footnote>
  <w:footnote w:type="continuationSeparator" w:id="0">
    <w:p w14:paraId="11C7D31D" w14:textId="77777777" w:rsidR="006D424A" w:rsidRDefault="006D4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E7C10" w14:textId="77777777" w:rsidR="00E67940" w:rsidRDefault="006D424A">
    <w:pPr>
      <w:pBdr>
        <w:bottom w:val="single" w:sz="4" w:space="0" w:color="D9D9D9"/>
      </w:pBdr>
      <w:tabs>
        <w:tab w:val="right" w:pos="9360"/>
      </w:tabs>
    </w:pPr>
    <w:r>
      <w:rPr>
        <w:color w:val="808080"/>
        <w:sz w:val="17"/>
        <w:szCs w:val="17"/>
      </w:rPr>
      <w:t>Oscillatory Mode Characterization — User Guide</w:t>
    </w:r>
    <w:r>
      <w:rPr>
        <w:color w:val="808080"/>
        <w:sz w:val="17"/>
        <w:szCs w:val="17"/>
      </w:rPr>
      <w:tab/>
      <w:t>GPA Engagement Project – Task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D70E9"/>
    <w:multiLevelType w:val="hybridMultilevel"/>
    <w:tmpl w:val="E7A43024"/>
    <w:lvl w:ilvl="0" w:tplc="1CF2E41C">
      <w:start w:val="1"/>
      <w:numFmt w:val="decimal"/>
      <w:lvlText w:val="%1."/>
      <w:lvlJc w:val="left"/>
      <w:pPr>
        <w:ind w:left="480" w:hanging="360"/>
      </w:pPr>
    </w:lvl>
    <w:lvl w:ilvl="1" w:tplc="A0345CC2">
      <w:numFmt w:val="decimal"/>
      <w:lvlText w:val=""/>
      <w:lvlJc w:val="left"/>
    </w:lvl>
    <w:lvl w:ilvl="2" w:tplc="F2E85EDC">
      <w:numFmt w:val="decimal"/>
      <w:lvlText w:val=""/>
      <w:lvlJc w:val="left"/>
    </w:lvl>
    <w:lvl w:ilvl="3" w:tplc="8CF29B5E">
      <w:numFmt w:val="decimal"/>
      <w:lvlText w:val=""/>
      <w:lvlJc w:val="left"/>
    </w:lvl>
    <w:lvl w:ilvl="4" w:tplc="E430A9BE">
      <w:numFmt w:val="decimal"/>
      <w:lvlText w:val=""/>
      <w:lvlJc w:val="left"/>
    </w:lvl>
    <w:lvl w:ilvl="5" w:tplc="868AE0CA">
      <w:numFmt w:val="decimal"/>
      <w:lvlText w:val=""/>
      <w:lvlJc w:val="left"/>
    </w:lvl>
    <w:lvl w:ilvl="6" w:tplc="59A0ACE8">
      <w:numFmt w:val="decimal"/>
      <w:lvlText w:val=""/>
      <w:lvlJc w:val="left"/>
    </w:lvl>
    <w:lvl w:ilvl="7" w:tplc="ED4AF47E">
      <w:numFmt w:val="decimal"/>
      <w:lvlText w:val=""/>
      <w:lvlJc w:val="left"/>
    </w:lvl>
    <w:lvl w:ilvl="8" w:tplc="392CC932">
      <w:numFmt w:val="decimal"/>
      <w:lvlText w:val=""/>
      <w:lvlJc w:val="left"/>
    </w:lvl>
  </w:abstractNum>
  <w:abstractNum w:abstractNumId="1" w15:restartNumberingAfterBreak="0">
    <w:nsid w:val="28FF674D"/>
    <w:multiLevelType w:val="hybridMultilevel"/>
    <w:tmpl w:val="A3826024"/>
    <w:lvl w:ilvl="0" w:tplc="D8B8ABEA">
      <w:start w:val="1"/>
      <w:numFmt w:val="bullet"/>
      <w:lvlText w:val="•"/>
      <w:lvlJc w:val="left"/>
      <w:pPr>
        <w:ind w:left="480" w:hanging="240"/>
      </w:pPr>
    </w:lvl>
    <w:lvl w:ilvl="1" w:tplc="C532C38C">
      <w:start w:val="1"/>
      <w:numFmt w:val="bullet"/>
      <w:lvlText w:val="◦"/>
      <w:lvlJc w:val="left"/>
      <w:pPr>
        <w:ind w:left="900" w:hanging="240"/>
      </w:pPr>
    </w:lvl>
    <w:lvl w:ilvl="2" w:tplc="891214D6">
      <w:numFmt w:val="decimal"/>
      <w:lvlText w:val=""/>
      <w:lvlJc w:val="left"/>
    </w:lvl>
    <w:lvl w:ilvl="3" w:tplc="9E78DC7A">
      <w:numFmt w:val="decimal"/>
      <w:lvlText w:val=""/>
      <w:lvlJc w:val="left"/>
    </w:lvl>
    <w:lvl w:ilvl="4" w:tplc="F3F20C4E">
      <w:numFmt w:val="decimal"/>
      <w:lvlText w:val=""/>
      <w:lvlJc w:val="left"/>
    </w:lvl>
    <w:lvl w:ilvl="5" w:tplc="66CAE00C">
      <w:numFmt w:val="decimal"/>
      <w:lvlText w:val=""/>
      <w:lvlJc w:val="left"/>
    </w:lvl>
    <w:lvl w:ilvl="6" w:tplc="F118BBCC">
      <w:numFmt w:val="decimal"/>
      <w:lvlText w:val=""/>
      <w:lvlJc w:val="left"/>
    </w:lvl>
    <w:lvl w:ilvl="7" w:tplc="00AC2B3C">
      <w:numFmt w:val="decimal"/>
      <w:lvlText w:val=""/>
      <w:lvlJc w:val="left"/>
    </w:lvl>
    <w:lvl w:ilvl="8" w:tplc="21E0EE24">
      <w:numFmt w:val="decimal"/>
      <w:lvlText w:val=""/>
      <w:lvlJc w:val="left"/>
    </w:lvl>
  </w:abstractNum>
  <w:abstractNum w:abstractNumId="2" w15:restartNumberingAfterBreak="0">
    <w:nsid w:val="494B0803"/>
    <w:multiLevelType w:val="hybridMultilevel"/>
    <w:tmpl w:val="3C54F302"/>
    <w:lvl w:ilvl="0" w:tplc="2C2271A0">
      <w:start w:val="1"/>
      <w:numFmt w:val="bullet"/>
      <w:lvlText w:val="●"/>
      <w:lvlJc w:val="left"/>
      <w:pPr>
        <w:ind w:left="720" w:hanging="360"/>
      </w:pPr>
    </w:lvl>
    <w:lvl w:ilvl="1" w:tplc="661A7A50">
      <w:start w:val="1"/>
      <w:numFmt w:val="bullet"/>
      <w:lvlText w:val="○"/>
      <w:lvlJc w:val="left"/>
      <w:pPr>
        <w:ind w:left="1440" w:hanging="360"/>
      </w:pPr>
    </w:lvl>
    <w:lvl w:ilvl="2" w:tplc="AC8C2A90">
      <w:start w:val="1"/>
      <w:numFmt w:val="bullet"/>
      <w:lvlText w:val="■"/>
      <w:lvlJc w:val="left"/>
      <w:pPr>
        <w:ind w:left="2160" w:hanging="360"/>
      </w:pPr>
    </w:lvl>
    <w:lvl w:ilvl="3" w:tplc="52FC1F9A">
      <w:start w:val="1"/>
      <w:numFmt w:val="bullet"/>
      <w:lvlText w:val="●"/>
      <w:lvlJc w:val="left"/>
      <w:pPr>
        <w:ind w:left="2880" w:hanging="360"/>
      </w:pPr>
    </w:lvl>
    <w:lvl w:ilvl="4" w:tplc="A080CE44">
      <w:start w:val="1"/>
      <w:numFmt w:val="bullet"/>
      <w:lvlText w:val="○"/>
      <w:lvlJc w:val="left"/>
      <w:pPr>
        <w:ind w:left="3600" w:hanging="360"/>
      </w:pPr>
    </w:lvl>
    <w:lvl w:ilvl="5" w:tplc="B7BAD89C">
      <w:start w:val="1"/>
      <w:numFmt w:val="bullet"/>
      <w:lvlText w:val="■"/>
      <w:lvlJc w:val="left"/>
      <w:pPr>
        <w:ind w:left="4320" w:hanging="360"/>
      </w:pPr>
    </w:lvl>
    <w:lvl w:ilvl="6" w:tplc="733645B4">
      <w:start w:val="1"/>
      <w:numFmt w:val="bullet"/>
      <w:lvlText w:val="●"/>
      <w:lvlJc w:val="left"/>
      <w:pPr>
        <w:ind w:left="5040" w:hanging="360"/>
      </w:pPr>
    </w:lvl>
    <w:lvl w:ilvl="7" w:tplc="8C726D9A">
      <w:start w:val="1"/>
      <w:numFmt w:val="bullet"/>
      <w:lvlText w:val="●"/>
      <w:lvlJc w:val="left"/>
      <w:pPr>
        <w:ind w:left="5760" w:hanging="360"/>
      </w:pPr>
    </w:lvl>
    <w:lvl w:ilvl="8" w:tplc="0C126DC2">
      <w:start w:val="1"/>
      <w:numFmt w:val="bullet"/>
      <w:lvlText w:val="●"/>
      <w:lvlJc w:val="left"/>
      <w:pPr>
        <w:ind w:left="6480" w:hanging="360"/>
      </w:pPr>
    </w:lvl>
  </w:abstractNum>
  <w:num w:numId="1" w16cid:durableId="159392457">
    <w:abstractNumId w:val="2"/>
    <w:lvlOverride w:ilvl="0">
      <w:startOverride w:val="1"/>
    </w:lvlOverride>
  </w:num>
  <w:num w:numId="2" w16cid:durableId="235096141">
    <w:abstractNumId w:val="1"/>
    <w:lvlOverride w:ilvl="0">
      <w:startOverride w:val="1"/>
    </w:lvlOverride>
  </w:num>
  <w:num w:numId="3" w16cid:durableId="78292051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940"/>
    <w:rsid w:val="006D424A"/>
    <w:rsid w:val="00E6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D2A56"/>
  <w15:docId w15:val="{24E7326F-8530-4929-975D-197F921C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b/>
      <w:bCs/>
      <w:color w:val="1F4E79"/>
    </w:rPr>
  </w:style>
  <w:style w:type="paragraph" w:styleId="Heading2">
    <w:name w:val="heading 2"/>
    <w:uiPriority w:val="9"/>
    <w:unhideWhenUsed/>
    <w:qFormat/>
    <w:pPr>
      <w:outlineLvl w:val="1"/>
    </w:pPr>
    <w:rPr>
      <w:b/>
      <w:bCs/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D424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424A"/>
    <w:pPr>
      <w:spacing w:after="100"/>
      <w:ind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1889</Words>
  <Characters>10771</Characters>
  <Application>Microsoft Office Word</Application>
  <DocSecurity>0</DocSecurity>
  <Lines>89</Lines>
  <Paragraphs>25</Paragraphs>
  <ScaleCrop>false</ScaleCrop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Oscillatory Mode Characterization — Installation and User Guide</dc:title>
  <dc:creator>Grid Protection Alliance</dc:creator>
  <dc:description>GPA Engagement Project Task 1 documentation</dc:description>
  <cp:lastModifiedBy>J. Ritchie Carroll</cp:lastModifiedBy>
  <cp:revision>2</cp:revision>
  <dcterms:created xsi:type="dcterms:W3CDTF">2026-08-18T14:57:00Z</dcterms:created>
  <dcterms:modified xsi:type="dcterms:W3CDTF">2026-08-18T14:58:00Z</dcterms:modified>
</cp:coreProperties>
</file>